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56" w:rsidRDefault="00727556" w:rsidP="00727556">
      <w:pPr>
        <w:pStyle w:val="Default"/>
        <w:jc w:val="center"/>
        <w:rPr>
          <w:b/>
          <w:bCs/>
          <w:sz w:val="23"/>
          <w:szCs w:val="23"/>
        </w:rPr>
      </w:pPr>
      <w:r>
        <w:rPr>
          <w:b/>
          <w:bCs/>
          <w:sz w:val="23"/>
          <w:szCs w:val="23"/>
        </w:rPr>
        <w:t>Player Affiliation</w:t>
      </w:r>
    </w:p>
    <w:p w:rsidR="00727556" w:rsidRDefault="00727556" w:rsidP="00727556">
      <w:pPr>
        <w:pStyle w:val="Default"/>
        <w:jc w:val="center"/>
        <w:rPr>
          <w:b/>
          <w:bCs/>
          <w:sz w:val="23"/>
          <w:szCs w:val="23"/>
        </w:rPr>
      </w:pPr>
    </w:p>
    <w:p w:rsidR="00727556" w:rsidRPr="00727556" w:rsidRDefault="00727556" w:rsidP="00727556">
      <w:pPr>
        <w:pStyle w:val="Default"/>
        <w:rPr>
          <w:bCs/>
          <w:sz w:val="23"/>
          <w:szCs w:val="23"/>
        </w:rPr>
      </w:pPr>
      <w:r w:rsidRPr="00727556">
        <w:rPr>
          <w:bCs/>
          <w:sz w:val="23"/>
          <w:szCs w:val="23"/>
        </w:rPr>
        <w:t>This Document outlines the procedure to follow when requesting that a player be allowed to affiliate with a higher team.</w:t>
      </w:r>
    </w:p>
    <w:p w:rsidR="00727556" w:rsidRDefault="00727556" w:rsidP="005674D5">
      <w:pPr>
        <w:pStyle w:val="Default"/>
        <w:rPr>
          <w:b/>
          <w:bCs/>
          <w:sz w:val="23"/>
          <w:szCs w:val="23"/>
        </w:rPr>
      </w:pPr>
    </w:p>
    <w:p w:rsidR="00727556" w:rsidRDefault="00727556" w:rsidP="005674D5">
      <w:pPr>
        <w:pStyle w:val="Default"/>
        <w:rPr>
          <w:bCs/>
          <w:sz w:val="23"/>
          <w:szCs w:val="23"/>
        </w:rPr>
      </w:pPr>
      <w:r w:rsidRPr="00727556">
        <w:rPr>
          <w:bCs/>
          <w:sz w:val="23"/>
          <w:szCs w:val="23"/>
        </w:rPr>
        <w:t>If pla</w:t>
      </w:r>
      <w:r w:rsidR="009B0030">
        <w:rPr>
          <w:bCs/>
          <w:sz w:val="23"/>
          <w:szCs w:val="23"/>
        </w:rPr>
        <w:t>yer being requested is on a Peew</w:t>
      </w:r>
      <w:r w:rsidRPr="00727556">
        <w:rPr>
          <w:bCs/>
          <w:sz w:val="23"/>
          <w:szCs w:val="23"/>
        </w:rPr>
        <w:t>ee House League team, or higher, they must have completed a current Checking Clinic.</w:t>
      </w:r>
    </w:p>
    <w:p w:rsidR="00727556" w:rsidRDefault="00727556" w:rsidP="005674D5">
      <w:pPr>
        <w:pStyle w:val="Default"/>
        <w:rPr>
          <w:bCs/>
          <w:sz w:val="23"/>
          <w:szCs w:val="23"/>
        </w:rPr>
      </w:pPr>
    </w:p>
    <w:p w:rsidR="00727556" w:rsidRDefault="00727556" w:rsidP="005674D5">
      <w:pPr>
        <w:pStyle w:val="Default"/>
        <w:rPr>
          <w:bCs/>
          <w:sz w:val="23"/>
          <w:szCs w:val="23"/>
        </w:rPr>
      </w:pPr>
      <w:r>
        <w:rPr>
          <w:bCs/>
          <w:sz w:val="23"/>
          <w:szCs w:val="23"/>
        </w:rPr>
        <w:t>The coach making the request</w:t>
      </w:r>
      <w:r w:rsidR="009B0030">
        <w:rPr>
          <w:bCs/>
          <w:sz w:val="23"/>
          <w:szCs w:val="23"/>
        </w:rPr>
        <w:t xml:space="preserve"> must always contact the coach of the player’s host whether it is the first game or any subsequent game thereafter. Once the coach of the host team has been contacted, and s/he agrees with the affiliation request, the player would be contacted to see if s/he is in agreement with the affiliation request.</w:t>
      </w:r>
    </w:p>
    <w:p w:rsidR="009B0030" w:rsidRDefault="009B0030" w:rsidP="005674D5">
      <w:pPr>
        <w:pStyle w:val="Default"/>
        <w:rPr>
          <w:bCs/>
          <w:sz w:val="23"/>
          <w:szCs w:val="23"/>
        </w:rPr>
      </w:pPr>
    </w:p>
    <w:p w:rsidR="009B0030" w:rsidRDefault="009B0030" w:rsidP="005674D5">
      <w:pPr>
        <w:pStyle w:val="Default"/>
        <w:rPr>
          <w:bCs/>
          <w:sz w:val="23"/>
          <w:szCs w:val="23"/>
        </w:rPr>
      </w:pPr>
      <w:r>
        <w:rPr>
          <w:bCs/>
          <w:sz w:val="23"/>
          <w:szCs w:val="23"/>
        </w:rPr>
        <w:t>The coach making the request cannot contact the player directly.</w:t>
      </w:r>
    </w:p>
    <w:p w:rsidR="009B0030" w:rsidRDefault="009B0030" w:rsidP="005674D5">
      <w:pPr>
        <w:pStyle w:val="Default"/>
        <w:rPr>
          <w:bCs/>
          <w:sz w:val="23"/>
          <w:szCs w:val="23"/>
        </w:rPr>
      </w:pPr>
    </w:p>
    <w:p w:rsidR="009B0030" w:rsidRDefault="009B0030" w:rsidP="005674D5">
      <w:pPr>
        <w:pStyle w:val="Default"/>
        <w:rPr>
          <w:bCs/>
          <w:sz w:val="23"/>
          <w:szCs w:val="23"/>
        </w:rPr>
      </w:pPr>
      <w:r>
        <w:rPr>
          <w:bCs/>
          <w:sz w:val="23"/>
          <w:szCs w:val="23"/>
        </w:rPr>
        <w:t>Once the player has played 3 or 4 games with the higher team, the executive must be notified, in writing, of desire of the coach making the affilia</w:t>
      </w:r>
      <w:r w:rsidR="00361571">
        <w:rPr>
          <w:bCs/>
          <w:sz w:val="23"/>
          <w:szCs w:val="23"/>
        </w:rPr>
        <w:t>tion request to keep the player on the higher team. This email should also include written approval of host coach. The final decision as to whether the player stays with the higher team or returns to the host team rests with the executive. Both coaches need to be aware that once the player reaches his 5</w:t>
      </w:r>
      <w:r w:rsidR="00361571" w:rsidRPr="00361571">
        <w:rPr>
          <w:bCs/>
          <w:sz w:val="23"/>
          <w:szCs w:val="23"/>
          <w:vertAlign w:val="superscript"/>
        </w:rPr>
        <w:t>th</w:t>
      </w:r>
      <w:r w:rsidR="00361571">
        <w:rPr>
          <w:bCs/>
          <w:sz w:val="23"/>
          <w:szCs w:val="23"/>
        </w:rPr>
        <w:t xml:space="preserve"> game after January 10</w:t>
      </w:r>
      <w:r w:rsidR="00361571" w:rsidRPr="00361571">
        <w:rPr>
          <w:bCs/>
          <w:sz w:val="23"/>
          <w:szCs w:val="23"/>
          <w:vertAlign w:val="superscript"/>
        </w:rPr>
        <w:t>th</w:t>
      </w:r>
      <w:r w:rsidR="00361571">
        <w:rPr>
          <w:bCs/>
          <w:sz w:val="23"/>
          <w:szCs w:val="23"/>
        </w:rPr>
        <w:t xml:space="preserve"> that player will have to remain with the higher team if he plays a 6</w:t>
      </w:r>
      <w:r w:rsidR="00361571" w:rsidRPr="00361571">
        <w:rPr>
          <w:bCs/>
          <w:sz w:val="23"/>
          <w:szCs w:val="23"/>
          <w:vertAlign w:val="superscript"/>
        </w:rPr>
        <w:t>th</w:t>
      </w:r>
      <w:r w:rsidR="00361571">
        <w:rPr>
          <w:bCs/>
          <w:sz w:val="23"/>
          <w:szCs w:val="23"/>
        </w:rPr>
        <w:t xml:space="preserve"> game. This is why the communication between both coaches is so critical to ensure there are no surprises when a player reaches the game cap.</w:t>
      </w:r>
    </w:p>
    <w:p w:rsidR="00361571" w:rsidRDefault="00361571" w:rsidP="005674D5">
      <w:pPr>
        <w:pStyle w:val="Default"/>
        <w:rPr>
          <w:bCs/>
          <w:sz w:val="23"/>
          <w:szCs w:val="23"/>
        </w:rPr>
      </w:pPr>
    </w:p>
    <w:p w:rsidR="00361571" w:rsidRDefault="00361571" w:rsidP="005674D5">
      <w:pPr>
        <w:pStyle w:val="Default"/>
        <w:rPr>
          <w:bCs/>
          <w:sz w:val="23"/>
          <w:szCs w:val="23"/>
        </w:rPr>
      </w:pPr>
      <w:r>
        <w:rPr>
          <w:bCs/>
          <w:sz w:val="23"/>
          <w:szCs w:val="23"/>
        </w:rPr>
        <w:t>The player Affiliation rules are as follows:</w:t>
      </w:r>
    </w:p>
    <w:p w:rsidR="009B0030" w:rsidRPr="00727556" w:rsidRDefault="009B0030" w:rsidP="005674D5">
      <w:pPr>
        <w:pStyle w:val="Default"/>
        <w:rPr>
          <w:bCs/>
          <w:sz w:val="23"/>
          <w:szCs w:val="23"/>
        </w:rPr>
      </w:pPr>
    </w:p>
    <w:p w:rsidR="00727556" w:rsidRDefault="00361571" w:rsidP="005674D5">
      <w:pPr>
        <w:pStyle w:val="Default"/>
        <w:rPr>
          <w:b/>
          <w:bCs/>
          <w:sz w:val="23"/>
          <w:szCs w:val="23"/>
        </w:rPr>
      </w:pPr>
      <w:r>
        <w:rPr>
          <w:b/>
          <w:bCs/>
          <w:sz w:val="23"/>
          <w:szCs w:val="23"/>
        </w:rPr>
        <w:t>Hockey Nova Scotia</w:t>
      </w:r>
      <w:bookmarkStart w:id="0" w:name="_GoBack"/>
      <w:bookmarkEnd w:id="0"/>
    </w:p>
    <w:p w:rsidR="005674D5" w:rsidRDefault="005674D5" w:rsidP="005674D5">
      <w:pPr>
        <w:pStyle w:val="Default"/>
        <w:rPr>
          <w:b/>
          <w:bCs/>
          <w:sz w:val="23"/>
          <w:szCs w:val="23"/>
        </w:rPr>
      </w:pPr>
      <w:r>
        <w:rPr>
          <w:b/>
          <w:bCs/>
          <w:sz w:val="23"/>
          <w:szCs w:val="23"/>
        </w:rPr>
        <w:t xml:space="preserve">REGULATION SIX – AFFILIATION </w:t>
      </w:r>
    </w:p>
    <w:p w:rsidR="00727556" w:rsidRDefault="00727556" w:rsidP="005674D5">
      <w:pPr>
        <w:pStyle w:val="Default"/>
        <w:rPr>
          <w:sz w:val="23"/>
          <w:szCs w:val="23"/>
        </w:rPr>
      </w:pPr>
    </w:p>
    <w:p w:rsidR="005674D5" w:rsidRDefault="005674D5" w:rsidP="005674D5">
      <w:pPr>
        <w:pStyle w:val="Default"/>
        <w:rPr>
          <w:sz w:val="23"/>
          <w:szCs w:val="23"/>
        </w:rPr>
      </w:pPr>
      <w:r>
        <w:rPr>
          <w:sz w:val="23"/>
          <w:szCs w:val="23"/>
        </w:rPr>
        <w:t xml:space="preserve">6.0 </w:t>
      </w:r>
      <w:r>
        <w:rPr>
          <w:b/>
          <w:bCs/>
          <w:sz w:val="23"/>
          <w:szCs w:val="23"/>
        </w:rPr>
        <w:t xml:space="preserve">PURPOSE: </w:t>
      </w:r>
      <w:r>
        <w:rPr>
          <w:sz w:val="23"/>
          <w:szCs w:val="23"/>
        </w:rPr>
        <w:t xml:space="preserve">To provide an opportunity for higher Division or category teams to dress the maximum number of players allowable for a game in accordance with the playing rules. </w:t>
      </w:r>
    </w:p>
    <w:p w:rsidR="005674D5" w:rsidRDefault="005674D5" w:rsidP="005674D5">
      <w:pPr>
        <w:pStyle w:val="Default"/>
        <w:rPr>
          <w:sz w:val="23"/>
          <w:szCs w:val="23"/>
        </w:rPr>
      </w:pPr>
      <w:r>
        <w:rPr>
          <w:sz w:val="23"/>
          <w:szCs w:val="23"/>
        </w:rPr>
        <w:t xml:space="preserve">6.1 Teams may use one of the following systems of affiliation: </w:t>
      </w:r>
    </w:p>
    <w:p w:rsidR="00727556" w:rsidRDefault="00727556" w:rsidP="005674D5">
      <w:pPr>
        <w:pStyle w:val="Default"/>
        <w:rPr>
          <w:sz w:val="23"/>
          <w:szCs w:val="23"/>
        </w:rPr>
      </w:pPr>
    </w:p>
    <w:p w:rsidR="005674D5" w:rsidRDefault="005674D5" w:rsidP="005674D5">
      <w:pPr>
        <w:pStyle w:val="Default"/>
        <w:spacing w:after="263"/>
        <w:rPr>
          <w:sz w:val="23"/>
          <w:szCs w:val="23"/>
        </w:rPr>
      </w:pPr>
      <w:r>
        <w:rPr>
          <w:sz w:val="23"/>
          <w:szCs w:val="23"/>
        </w:rPr>
        <w:t xml:space="preserve">1) Team to Team Affiliation. Applicable to all divisions Senior, (male and female) Junior, Minor and Minor Female. A team may only have one affiliated team. </w:t>
      </w:r>
    </w:p>
    <w:p w:rsidR="005674D5" w:rsidRDefault="005674D5" w:rsidP="005674D5">
      <w:pPr>
        <w:pStyle w:val="Default"/>
        <w:spacing w:after="263"/>
        <w:rPr>
          <w:sz w:val="23"/>
          <w:szCs w:val="23"/>
        </w:rPr>
      </w:pPr>
      <w:r>
        <w:rPr>
          <w:sz w:val="23"/>
          <w:szCs w:val="23"/>
        </w:rPr>
        <w:t xml:space="preserve">2) Specially affiliated players. Applicable to Senior Female, Junior, and Minor Female Divisions only. A team may if they wish and in lieu of one affiliated team have 19 specially affiliated players of which at least two must be goaltenders, from lower division or category teams operating in the geographic subdivision in which the selecting team operates. </w:t>
      </w:r>
    </w:p>
    <w:p w:rsidR="005674D5" w:rsidRDefault="005674D5" w:rsidP="005674D5">
      <w:pPr>
        <w:pStyle w:val="Default"/>
        <w:spacing w:after="263"/>
        <w:rPr>
          <w:sz w:val="23"/>
          <w:szCs w:val="23"/>
        </w:rPr>
      </w:pPr>
      <w:r>
        <w:rPr>
          <w:sz w:val="23"/>
          <w:szCs w:val="23"/>
        </w:rPr>
        <w:t xml:space="preserve">3) Major Bantam teams are permitted to sign six special affiliation agreements, one of which must be a goaltender. </w:t>
      </w:r>
    </w:p>
    <w:p w:rsidR="005674D5" w:rsidRDefault="005674D5" w:rsidP="005674D5">
      <w:pPr>
        <w:pStyle w:val="Default"/>
        <w:spacing w:after="263"/>
        <w:rPr>
          <w:sz w:val="23"/>
          <w:szCs w:val="23"/>
        </w:rPr>
      </w:pPr>
      <w:r>
        <w:rPr>
          <w:sz w:val="23"/>
          <w:szCs w:val="23"/>
        </w:rPr>
        <w:t xml:space="preserve">4) Major Midget Teams are permitted to sign 10 special affiliation agreements, one of which must be a goaltender. </w:t>
      </w:r>
    </w:p>
    <w:p w:rsidR="005674D5" w:rsidRDefault="005674D5" w:rsidP="005674D5">
      <w:pPr>
        <w:pStyle w:val="Default"/>
        <w:spacing w:after="263"/>
        <w:rPr>
          <w:sz w:val="23"/>
          <w:szCs w:val="23"/>
        </w:rPr>
      </w:pPr>
      <w:r>
        <w:rPr>
          <w:sz w:val="23"/>
          <w:szCs w:val="23"/>
        </w:rPr>
        <w:t xml:space="preserve">5) Club System. Applicable to Minor and Female Divisions only. A club is defined as a Minor Hockey Association. The movement of players within a club shall only be to a team in a higher Division/category. </w:t>
      </w:r>
    </w:p>
    <w:p w:rsidR="005674D5" w:rsidRDefault="005674D5" w:rsidP="005674D5">
      <w:pPr>
        <w:pStyle w:val="Default"/>
        <w:rPr>
          <w:sz w:val="23"/>
          <w:szCs w:val="23"/>
        </w:rPr>
      </w:pPr>
      <w:r>
        <w:rPr>
          <w:sz w:val="23"/>
          <w:szCs w:val="23"/>
        </w:rPr>
        <w:t xml:space="preserve">6) </w:t>
      </w:r>
      <w:r>
        <w:rPr>
          <w:b/>
          <w:bCs/>
          <w:sz w:val="23"/>
          <w:szCs w:val="23"/>
        </w:rPr>
        <w:t xml:space="preserve">A player of a team of a lower Division or category of the same club, or of an affiliated team, or a specially affiliated player, may affiliate to a team or teams of higher Divisions and categories at any time, to a maximum of ten (10) games per season. However, if the player’s registered team completes its regular season and playoffs before the player’s affiliated team </w:t>
      </w:r>
      <w:r>
        <w:rPr>
          <w:b/>
          <w:bCs/>
          <w:sz w:val="23"/>
          <w:szCs w:val="23"/>
        </w:rPr>
        <w:lastRenderedPageBreak/>
        <w:t xml:space="preserve">or teams, the player may thereafter affiliate an unlimited number of times. For goaltender exceptions see HC Regulations B.42, E.36. </w:t>
      </w:r>
    </w:p>
    <w:p w:rsidR="005674D5" w:rsidRDefault="005674D5" w:rsidP="005674D5">
      <w:pPr>
        <w:pStyle w:val="Default"/>
        <w:rPr>
          <w:sz w:val="23"/>
          <w:szCs w:val="23"/>
        </w:rPr>
      </w:pPr>
    </w:p>
    <w:p w:rsidR="005674D5" w:rsidRDefault="005674D5" w:rsidP="005674D5">
      <w:pPr>
        <w:pStyle w:val="Default"/>
        <w:rPr>
          <w:b/>
          <w:bCs/>
          <w:sz w:val="23"/>
          <w:szCs w:val="23"/>
        </w:rPr>
      </w:pPr>
      <w:r>
        <w:rPr>
          <w:b/>
          <w:bCs/>
          <w:sz w:val="23"/>
          <w:szCs w:val="23"/>
        </w:rPr>
        <w:t xml:space="preserve">Exhibition and/or tournament games, which are not part of regular league games or play-off games, are excluded from the number of games referred to in HC Regulations E.35 (a). </w:t>
      </w:r>
    </w:p>
    <w:p w:rsidR="00727556" w:rsidRDefault="00727556" w:rsidP="005674D5">
      <w:pPr>
        <w:pStyle w:val="Default"/>
        <w:rPr>
          <w:sz w:val="23"/>
          <w:szCs w:val="23"/>
        </w:rPr>
      </w:pPr>
    </w:p>
    <w:p w:rsidR="005674D5" w:rsidRDefault="005674D5" w:rsidP="005674D5">
      <w:pPr>
        <w:pStyle w:val="Default"/>
        <w:rPr>
          <w:sz w:val="23"/>
          <w:szCs w:val="23"/>
        </w:rPr>
      </w:pPr>
      <w:r>
        <w:rPr>
          <w:sz w:val="23"/>
          <w:szCs w:val="23"/>
        </w:rPr>
        <w:t xml:space="preserve">7) All such affiliations permitted under 6.1 shall terminate at the end of the current playing season, and may not be altered during the current playing season. </w:t>
      </w:r>
    </w:p>
    <w:p w:rsidR="005674D5" w:rsidRDefault="005674D5" w:rsidP="005674D5">
      <w:pPr>
        <w:pStyle w:val="Default"/>
      </w:pPr>
    </w:p>
    <w:p w:rsidR="005674D5" w:rsidRDefault="005674D5" w:rsidP="005674D5">
      <w:pPr>
        <w:pStyle w:val="Default"/>
        <w:spacing w:after="299"/>
        <w:rPr>
          <w:sz w:val="23"/>
          <w:szCs w:val="23"/>
        </w:rPr>
      </w:pPr>
      <w:r>
        <w:rPr>
          <w:sz w:val="23"/>
          <w:szCs w:val="23"/>
        </w:rPr>
        <w:t xml:space="preserve">6.2 Minor Hockey will follow the “Club System” as defined in 6.1 (c) above and further defined and governed by Hockey Canada Regulation E.20 - E.28. This does not apply to Major Bantam or Major Midget. </w:t>
      </w:r>
    </w:p>
    <w:p w:rsidR="005674D5" w:rsidRDefault="005674D5" w:rsidP="005674D5">
      <w:pPr>
        <w:pStyle w:val="Default"/>
        <w:rPr>
          <w:sz w:val="23"/>
          <w:szCs w:val="23"/>
        </w:rPr>
      </w:pPr>
      <w:r>
        <w:rPr>
          <w:sz w:val="23"/>
          <w:szCs w:val="23"/>
        </w:rPr>
        <w:t xml:space="preserve">6.3 Female teams may use the “Club System” as defined in 6.1 (c) above and further defined and governed by Hockey Canada Regulation E.20 - E.28 or “Team to Team” affiliation as defined in 6.1 </w:t>
      </w:r>
    </w:p>
    <w:p w:rsidR="005674D5" w:rsidRDefault="005674D5" w:rsidP="005674D5">
      <w:pPr>
        <w:pStyle w:val="Default"/>
        <w:rPr>
          <w:sz w:val="23"/>
          <w:szCs w:val="23"/>
        </w:rPr>
      </w:pPr>
      <w:r>
        <w:rPr>
          <w:sz w:val="23"/>
          <w:szCs w:val="23"/>
        </w:rPr>
        <w:t xml:space="preserve">(a) above and further defined and governed by Hockey Canada Regulation E.9 – E.10. Only one method of affiliation may be used. </w:t>
      </w:r>
    </w:p>
    <w:p w:rsidR="005674D5" w:rsidRDefault="005674D5" w:rsidP="005674D5">
      <w:pPr>
        <w:pStyle w:val="Default"/>
        <w:rPr>
          <w:sz w:val="23"/>
          <w:szCs w:val="23"/>
        </w:rPr>
      </w:pPr>
      <w:r>
        <w:rPr>
          <w:sz w:val="23"/>
          <w:szCs w:val="23"/>
        </w:rPr>
        <w:t xml:space="preserve">Exceptions to 6.1(6) regulations for Female: </w:t>
      </w:r>
    </w:p>
    <w:p w:rsidR="005674D5" w:rsidRDefault="005674D5" w:rsidP="005674D5">
      <w:pPr>
        <w:pStyle w:val="Default"/>
        <w:rPr>
          <w:sz w:val="23"/>
          <w:szCs w:val="23"/>
        </w:rPr>
      </w:pPr>
      <w:r>
        <w:rPr>
          <w:sz w:val="23"/>
          <w:szCs w:val="23"/>
        </w:rPr>
        <w:t xml:space="preserve">When there are a limited number of teams to affiliate from, the affiliate team may be permitted to affiliate to more than one team with approval of the HNSFC Regional Director. </w:t>
      </w:r>
    </w:p>
    <w:p w:rsidR="005674D5" w:rsidRDefault="005674D5" w:rsidP="005674D5">
      <w:pPr>
        <w:pStyle w:val="Default"/>
        <w:rPr>
          <w:sz w:val="23"/>
          <w:szCs w:val="23"/>
        </w:rPr>
      </w:pPr>
      <w:r>
        <w:rPr>
          <w:sz w:val="23"/>
          <w:szCs w:val="23"/>
        </w:rPr>
        <w:t xml:space="preserve">When there are a limited number of teams available to affiliate from, specifically one team that two or more teams will be affiliating from, a player may be granted permission to affiliate to more than one team with the approval of the HNSFC Regional Director. </w:t>
      </w:r>
    </w:p>
    <w:p w:rsidR="005674D5" w:rsidRDefault="005674D5" w:rsidP="005674D5">
      <w:pPr>
        <w:pStyle w:val="Default"/>
        <w:rPr>
          <w:sz w:val="23"/>
          <w:szCs w:val="23"/>
        </w:rPr>
      </w:pPr>
      <w:r>
        <w:rPr>
          <w:sz w:val="23"/>
          <w:szCs w:val="23"/>
        </w:rPr>
        <w:t xml:space="preserve">6.4 Junior and Senior teams use the special affiliate method of 19 special affiliates (as defined in 6.1(b) above and further defined and governed by Hockey Canada Regulation E.12 - 19) may do so provided that the 19 affiliate players are members of a registered league competing in a minimum of 12 home and 12 away games, prior to the commencement of the higher category teams’ playoffs. </w:t>
      </w:r>
    </w:p>
    <w:p w:rsidR="005674D5" w:rsidRDefault="005674D5" w:rsidP="005674D5">
      <w:pPr>
        <w:pStyle w:val="Default"/>
        <w:rPr>
          <w:sz w:val="23"/>
          <w:szCs w:val="23"/>
        </w:rPr>
      </w:pPr>
      <w:r>
        <w:rPr>
          <w:sz w:val="23"/>
          <w:szCs w:val="23"/>
        </w:rPr>
        <w:t xml:space="preserve">6.5 The purpose of using affiliated players is to replace regular team players who are absent from the team and not to be used to fill a roster. </w:t>
      </w:r>
    </w:p>
    <w:p w:rsidR="005674D5" w:rsidRDefault="005674D5" w:rsidP="005674D5">
      <w:pPr>
        <w:pStyle w:val="Default"/>
        <w:rPr>
          <w:sz w:val="23"/>
          <w:szCs w:val="23"/>
        </w:rPr>
      </w:pPr>
      <w:r>
        <w:rPr>
          <w:sz w:val="23"/>
          <w:szCs w:val="23"/>
        </w:rPr>
        <w:t xml:space="preserve">a) Exception to 6.4 regulations for Female: In the case when the officially registered roster is 12 or less, affiliation can be carried out to fill a roster up to a maximum of 12 not exceeding a maximum total numbers of 3 affiliates. If affiliates are to be used to bring the roster to 12 players it must be cone with the approval of the HNSFC Regional Director. </w:t>
      </w:r>
    </w:p>
    <w:p w:rsidR="005674D5" w:rsidRDefault="005674D5" w:rsidP="005674D5">
      <w:pPr>
        <w:pStyle w:val="Default"/>
        <w:rPr>
          <w:sz w:val="23"/>
          <w:szCs w:val="23"/>
        </w:rPr>
      </w:pPr>
      <w:r>
        <w:rPr>
          <w:sz w:val="23"/>
          <w:szCs w:val="23"/>
        </w:rPr>
        <w:t xml:space="preserve">6.6 General Affiliation Regulations for Minor and Female Hockey as defined in 6.1 above and in Hockey Canada Regulation E 29-39 are applicable, except where defined herein. </w:t>
      </w:r>
    </w:p>
    <w:p w:rsidR="005674D5" w:rsidRDefault="005674D5" w:rsidP="005674D5">
      <w:pPr>
        <w:pStyle w:val="Default"/>
        <w:rPr>
          <w:sz w:val="23"/>
          <w:szCs w:val="23"/>
        </w:rPr>
      </w:pPr>
      <w:r>
        <w:rPr>
          <w:sz w:val="23"/>
          <w:szCs w:val="23"/>
        </w:rPr>
        <w:t xml:space="preserve">1) Movement of players is restricted as follows: </w:t>
      </w:r>
    </w:p>
    <w:p w:rsidR="005674D5" w:rsidRDefault="005674D5" w:rsidP="005674D5">
      <w:pPr>
        <w:pStyle w:val="Default"/>
        <w:rPr>
          <w:sz w:val="23"/>
          <w:szCs w:val="23"/>
        </w:rPr>
      </w:pPr>
    </w:p>
    <w:p w:rsidR="005674D5" w:rsidRDefault="005674D5" w:rsidP="005674D5">
      <w:pPr>
        <w:pStyle w:val="Default"/>
        <w:rPr>
          <w:sz w:val="20"/>
          <w:szCs w:val="20"/>
        </w:rPr>
      </w:pPr>
      <w:r>
        <w:rPr>
          <w:sz w:val="23"/>
          <w:szCs w:val="23"/>
        </w:rPr>
        <w:t xml:space="preserve">DIVISION AFFFILIATES TO: </w:t>
      </w:r>
      <w:r>
        <w:rPr>
          <w:sz w:val="20"/>
          <w:szCs w:val="20"/>
        </w:rPr>
        <w:t xml:space="preserve">Regulations August 2015 (Revised) Page 23 of 95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498"/>
        <w:gridCol w:w="271"/>
        <w:gridCol w:w="3227"/>
        <w:gridCol w:w="542"/>
      </w:tblGrid>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Midget AA </w:t>
            </w:r>
          </w:p>
        </w:tc>
        <w:tc>
          <w:tcPr>
            <w:tcW w:w="3498" w:type="dxa"/>
            <w:gridSpan w:val="2"/>
          </w:tcPr>
          <w:p w:rsidR="005674D5" w:rsidRDefault="005674D5">
            <w:pPr>
              <w:pStyle w:val="Default"/>
              <w:rPr>
                <w:sz w:val="23"/>
                <w:szCs w:val="23"/>
              </w:rPr>
            </w:pPr>
            <w:r>
              <w:rPr>
                <w:sz w:val="23"/>
                <w:szCs w:val="23"/>
              </w:rPr>
              <w:t xml:space="preserve">Midget A, B,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Midget A </w:t>
            </w:r>
          </w:p>
        </w:tc>
        <w:tc>
          <w:tcPr>
            <w:tcW w:w="3498" w:type="dxa"/>
            <w:gridSpan w:val="2"/>
          </w:tcPr>
          <w:p w:rsidR="005674D5" w:rsidRDefault="005674D5">
            <w:pPr>
              <w:pStyle w:val="Default"/>
              <w:rPr>
                <w:sz w:val="23"/>
                <w:szCs w:val="23"/>
              </w:rPr>
            </w:pPr>
            <w:r>
              <w:rPr>
                <w:sz w:val="23"/>
                <w:szCs w:val="23"/>
              </w:rPr>
              <w:t xml:space="preserve">Midget B,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Midget B </w:t>
            </w:r>
          </w:p>
        </w:tc>
        <w:tc>
          <w:tcPr>
            <w:tcW w:w="3498" w:type="dxa"/>
            <w:gridSpan w:val="2"/>
          </w:tcPr>
          <w:p w:rsidR="005674D5" w:rsidRDefault="005674D5">
            <w:pPr>
              <w:pStyle w:val="Default"/>
              <w:rPr>
                <w:sz w:val="23"/>
                <w:szCs w:val="23"/>
              </w:rPr>
            </w:pPr>
            <w:r>
              <w:rPr>
                <w:sz w:val="23"/>
                <w:szCs w:val="23"/>
              </w:rPr>
              <w:t xml:space="preserve">Midget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Midget C </w:t>
            </w:r>
          </w:p>
        </w:tc>
        <w:tc>
          <w:tcPr>
            <w:tcW w:w="3498" w:type="dxa"/>
            <w:gridSpan w:val="2"/>
          </w:tcPr>
          <w:p w:rsidR="005674D5" w:rsidRDefault="005674D5">
            <w:pPr>
              <w:pStyle w:val="Default"/>
              <w:rPr>
                <w:sz w:val="23"/>
                <w:szCs w:val="23"/>
              </w:rPr>
            </w:pPr>
            <w:r>
              <w:rPr>
                <w:sz w:val="23"/>
                <w:szCs w:val="23"/>
              </w:rPr>
              <w:t xml:space="preserve">As approved by HNSMC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Bantam AA </w:t>
            </w:r>
          </w:p>
        </w:tc>
        <w:tc>
          <w:tcPr>
            <w:tcW w:w="3498" w:type="dxa"/>
            <w:gridSpan w:val="2"/>
          </w:tcPr>
          <w:p w:rsidR="005674D5" w:rsidRDefault="005674D5">
            <w:pPr>
              <w:pStyle w:val="Default"/>
              <w:rPr>
                <w:sz w:val="23"/>
                <w:szCs w:val="23"/>
              </w:rPr>
            </w:pPr>
            <w:r>
              <w:rPr>
                <w:sz w:val="23"/>
                <w:szCs w:val="23"/>
              </w:rPr>
              <w:t xml:space="preserve">Bantam A, B,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Bantam A </w:t>
            </w:r>
          </w:p>
        </w:tc>
        <w:tc>
          <w:tcPr>
            <w:tcW w:w="3498" w:type="dxa"/>
            <w:gridSpan w:val="2"/>
          </w:tcPr>
          <w:p w:rsidR="005674D5" w:rsidRDefault="005674D5">
            <w:pPr>
              <w:pStyle w:val="Default"/>
              <w:rPr>
                <w:sz w:val="23"/>
                <w:szCs w:val="23"/>
              </w:rPr>
            </w:pPr>
            <w:r>
              <w:rPr>
                <w:sz w:val="23"/>
                <w:szCs w:val="23"/>
              </w:rPr>
              <w:t xml:space="preserve">Bantam B,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Bantam B </w:t>
            </w:r>
          </w:p>
        </w:tc>
        <w:tc>
          <w:tcPr>
            <w:tcW w:w="3498" w:type="dxa"/>
            <w:gridSpan w:val="2"/>
          </w:tcPr>
          <w:p w:rsidR="005674D5" w:rsidRDefault="005674D5">
            <w:pPr>
              <w:pStyle w:val="Default"/>
              <w:rPr>
                <w:sz w:val="23"/>
                <w:szCs w:val="23"/>
              </w:rPr>
            </w:pPr>
            <w:r>
              <w:rPr>
                <w:sz w:val="23"/>
                <w:szCs w:val="23"/>
              </w:rPr>
              <w:t xml:space="preserve">Bantam C, Peewee A, B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Bantam C </w:t>
            </w:r>
          </w:p>
        </w:tc>
        <w:tc>
          <w:tcPr>
            <w:tcW w:w="3498" w:type="dxa"/>
            <w:gridSpan w:val="2"/>
          </w:tcPr>
          <w:p w:rsidR="005674D5" w:rsidRDefault="005674D5">
            <w:pPr>
              <w:pStyle w:val="Default"/>
              <w:rPr>
                <w:sz w:val="23"/>
                <w:szCs w:val="23"/>
              </w:rPr>
            </w:pPr>
            <w:r>
              <w:rPr>
                <w:sz w:val="23"/>
                <w:szCs w:val="23"/>
              </w:rPr>
              <w:t xml:space="preserve">As approved by HNSMC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Peewee AAA </w:t>
            </w:r>
          </w:p>
        </w:tc>
        <w:tc>
          <w:tcPr>
            <w:tcW w:w="3498" w:type="dxa"/>
            <w:gridSpan w:val="2"/>
          </w:tcPr>
          <w:p w:rsidR="005674D5" w:rsidRDefault="005674D5">
            <w:pPr>
              <w:pStyle w:val="Default"/>
              <w:rPr>
                <w:sz w:val="23"/>
                <w:szCs w:val="23"/>
              </w:rPr>
            </w:pPr>
            <w:r>
              <w:rPr>
                <w:sz w:val="23"/>
                <w:szCs w:val="23"/>
              </w:rPr>
              <w:t xml:space="preserve">Peewee AA,A, B, Atom AA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Peewee AA </w:t>
            </w:r>
          </w:p>
        </w:tc>
        <w:tc>
          <w:tcPr>
            <w:tcW w:w="3498" w:type="dxa"/>
            <w:gridSpan w:val="2"/>
          </w:tcPr>
          <w:p w:rsidR="005674D5" w:rsidRDefault="005674D5">
            <w:pPr>
              <w:pStyle w:val="Default"/>
              <w:rPr>
                <w:sz w:val="23"/>
                <w:szCs w:val="23"/>
              </w:rPr>
            </w:pPr>
            <w:r>
              <w:rPr>
                <w:sz w:val="23"/>
                <w:szCs w:val="23"/>
              </w:rPr>
              <w:t xml:space="preserve">Peewee A, B, Atom A, B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Peewee A </w:t>
            </w:r>
          </w:p>
        </w:tc>
        <w:tc>
          <w:tcPr>
            <w:tcW w:w="3498" w:type="dxa"/>
            <w:gridSpan w:val="2"/>
          </w:tcPr>
          <w:p w:rsidR="005674D5" w:rsidRDefault="005674D5">
            <w:pPr>
              <w:pStyle w:val="Default"/>
              <w:rPr>
                <w:sz w:val="23"/>
                <w:szCs w:val="23"/>
              </w:rPr>
            </w:pPr>
            <w:r>
              <w:rPr>
                <w:sz w:val="23"/>
                <w:szCs w:val="23"/>
              </w:rPr>
              <w:t xml:space="preserve">Peewee B, C, Atom A, B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Peewee B </w:t>
            </w:r>
          </w:p>
        </w:tc>
        <w:tc>
          <w:tcPr>
            <w:tcW w:w="3498" w:type="dxa"/>
            <w:gridSpan w:val="2"/>
          </w:tcPr>
          <w:p w:rsidR="005674D5" w:rsidRDefault="005674D5">
            <w:pPr>
              <w:pStyle w:val="Default"/>
              <w:rPr>
                <w:sz w:val="23"/>
                <w:szCs w:val="23"/>
              </w:rPr>
            </w:pPr>
            <w:r>
              <w:rPr>
                <w:sz w:val="23"/>
                <w:szCs w:val="23"/>
              </w:rPr>
              <w:t xml:space="preserve">Peewee C, Atom A, B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Peewee C </w:t>
            </w:r>
          </w:p>
        </w:tc>
        <w:tc>
          <w:tcPr>
            <w:tcW w:w="3498" w:type="dxa"/>
            <w:gridSpan w:val="2"/>
          </w:tcPr>
          <w:p w:rsidR="005674D5" w:rsidRDefault="005674D5">
            <w:pPr>
              <w:pStyle w:val="Default"/>
              <w:rPr>
                <w:sz w:val="23"/>
                <w:szCs w:val="23"/>
              </w:rPr>
            </w:pPr>
            <w:r>
              <w:rPr>
                <w:sz w:val="23"/>
                <w:szCs w:val="23"/>
              </w:rPr>
              <w:t xml:space="preserve">As approved by HNSMC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Atom AA </w:t>
            </w:r>
          </w:p>
        </w:tc>
        <w:tc>
          <w:tcPr>
            <w:tcW w:w="3498" w:type="dxa"/>
            <w:gridSpan w:val="2"/>
          </w:tcPr>
          <w:p w:rsidR="005674D5" w:rsidRDefault="005674D5">
            <w:pPr>
              <w:pStyle w:val="Default"/>
              <w:rPr>
                <w:sz w:val="23"/>
                <w:szCs w:val="23"/>
              </w:rPr>
            </w:pPr>
            <w:r>
              <w:rPr>
                <w:sz w:val="23"/>
                <w:szCs w:val="23"/>
              </w:rPr>
              <w:t xml:space="preserve">Atom A, B,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Atom A </w:t>
            </w:r>
          </w:p>
        </w:tc>
        <w:tc>
          <w:tcPr>
            <w:tcW w:w="3498" w:type="dxa"/>
            <w:gridSpan w:val="2"/>
          </w:tcPr>
          <w:p w:rsidR="005674D5" w:rsidRDefault="005674D5">
            <w:pPr>
              <w:pStyle w:val="Default"/>
              <w:rPr>
                <w:sz w:val="23"/>
                <w:szCs w:val="23"/>
              </w:rPr>
            </w:pPr>
            <w:r>
              <w:rPr>
                <w:sz w:val="23"/>
                <w:szCs w:val="23"/>
              </w:rPr>
              <w:t xml:space="preserve">Atom B,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t xml:space="preserve">Atom B </w:t>
            </w:r>
          </w:p>
        </w:tc>
        <w:tc>
          <w:tcPr>
            <w:tcW w:w="3498" w:type="dxa"/>
            <w:gridSpan w:val="2"/>
          </w:tcPr>
          <w:p w:rsidR="005674D5" w:rsidRDefault="005674D5">
            <w:pPr>
              <w:pStyle w:val="Default"/>
              <w:rPr>
                <w:sz w:val="23"/>
                <w:szCs w:val="23"/>
              </w:rPr>
            </w:pPr>
            <w:r>
              <w:rPr>
                <w:sz w:val="23"/>
                <w:szCs w:val="23"/>
              </w:rPr>
              <w:t xml:space="preserve">Atom C </w:t>
            </w:r>
          </w:p>
        </w:tc>
      </w:tr>
      <w:tr w:rsidR="005674D5">
        <w:tblPrEx>
          <w:tblCellMar>
            <w:top w:w="0" w:type="dxa"/>
            <w:bottom w:w="0" w:type="dxa"/>
          </w:tblCellMar>
        </w:tblPrEx>
        <w:trPr>
          <w:gridAfter w:val="1"/>
          <w:wAfter w:w="542" w:type="dxa"/>
          <w:trHeight w:val="112"/>
        </w:trPr>
        <w:tc>
          <w:tcPr>
            <w:tcW w:w="3498" w:type="dxa"/>
          </w:tcPr>
          <w:p w:rsidR="005674D5" w:rsidRDefault="005674D5">
            <w:pPr>
              <w:pStyle w:val="Default"/>
              <w:rPr>
                <w:sz w:val="23"/>
                <w:szCs w:val="23"/>
              </w:rPr>
            </w:pPr>
            <w:r>
              <w:rPr>
                <w:sz w:val="23"/>
                <w:szCs w:val="23"/>
              </w:rPr>
              <w:lastRenderedPageBreak/>
              <w:t xml:space="preserve">Atom C </w:t>
            </w:r>
          </w:p>
        </w:tc>
        <w:tc>
          <w:tcPr>
            <w:tcW w:w="3498" w:type="dxa"/>
            <w:gridSpan w:val="2"/>
          </w:tcPr>
          <w:p w:rsidR="005674D5" w:rsidRDefault="005674D5">
            <w:pPr>
              <w:pStyle w:val="Default"/>
              <w:rPr>
                <w:sz w:val="23"/>
                <w:szCs w:val="23"/>
              </w:rPr>
            </w:pPr>
            <w:r>
              <w:rPr>
                <w:sz w:val="23"/>
                <w:szCs w:val="23"/>
              </w:rPr>
              <w:t xml:space="preserve">As approved by HNSMC </w:t>
            </w: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r>
              <w:rPr>
                <w:sz w:val="23"/>
                <w:szCs w:val="23"/>
              </w:rPr>
              <w:t xml:space="preserve">Bantam A </w:t>
            </w:r>
          </w:p>
        </w:tc>
        <w:tc>
          <w:tcPr>
            <w:tcW w:w="3769" w:type="dxa"/>
            <w:gridSpan w:val="2"/>
          </w:tcPr>
          <w:p w:rsidR="005674D5" w:rsidRDefault="005674D5">
            <w:pPr>
              <w:pStyle w:val="Default"/>
              <w:rPr>
                <w:sz w:val="23"/>
                <w:szCs w:val="23"/>
              </w:rPr>
            </w:pPr>
            <w:r>
              <w:rPr>
                <w:sz w:val="23"/>
                <w:szCs w:val="23"/>
              </w:rPr>
              <w:t xml:space="preserve">Peewee AA, A </w:t>
            </w: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r>
              <w:rPr>
                <w:sz w:val="23"/>
                <w:szCs w:val="23"/>
              </w:rPr>
              <w:t xml:space="preserve">Peewee AA </w:t>
            </w:r>
          </w:p>
        </w:tc>
        <w:tc>
          <w:tcPr>
            <w:tcW w:w="3769" w:type="dxa"/>
            <w:gridSpan w:val="2"/>
          </w:tcPr>
          <w:p w:rsidR="005674D5" w:rsidRDefault="005674D5">
            <w:pPr>
              <w:pStyle w:val="Default"/>
              <w:rPr>
                <w:sz w:val="23"/>
                <w:szCs w:val="23"/>
              </w:rPr>
            </w:pPr>
            <w:r>
              <w:rPr>
                <w:sz w:val="23"/>
                <w:szCs w:val="23"/>
              </w:rPr>
              <w:t xml:space="preserve">Peewee A or Atom A </w:t>
            </w: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r>
              <w:rPr>
                <w:sz w:val="23"/>
                <w:szCs w:val="23"/>
              </w:rPr>
              <w:t xml:space="preserve">Peewee A </w:t>
            </w:r>
          </w:p>
        </w:tc>
        <w:tc>
          <w:tcPr>
            <w:tcW w:w="3769" w:type="dxa"/>
            <w:gridSpan w:val="2"/>
          </w:tcPr>
          <w:p w:rsidR="005674D5" w:rsidRDefault="005674D5">
            <w:pPr>
              <w:pStyle w:val="Default"/>
              <w:rPr>
                <w:sz w:val="23"/>
                <w:szCs w:val="23"/>
              </w:rPr>
            </w:pPr>
            <w:r>
              <w:rPr>
                <w:sz w:val="23"/>
                <w:szCs w:val="23"/>
              </w:rPr>
              <w:t xml:space="preserve">Atom A </w:t>
            </w: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r>
              <w:rPr>
                <w:sz w:val="23"/>
                <w:szCs w:val="23"/>
              </w:rPr>
              <w:t xml:space="preserve">Atom A </w:t>
            </w:r>
          </w:p>
        </w:tc>
        <w:tc>
          <w:tcPr>
            <w:tcW w:w="3769" w:type="dxa"/>
            <w:gridSpan w:val="2"/>
          </w:tcPr>
          <w:p w:rsidR="005674D5" w:rsidRDefault="005674D5">
            <w:pPr>
              <w:pStyle w:val="Default"/>
              <w:rPr>
                <w:sz w:val="23"/>
                <w:szCs w:val="23"/>
              </w:rPr>
            </w:pPr>
            <w:r>
              <w:rPr>
                <w:sz w:val="23"/>
                <w:szCs w:val="23"/>
              </w:rPr>
              <w:t xml:space="preserve">Atom C as approved by HNSFC </w:t>
            </w: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p>
          <w:p w:rsidR="005674D5" w:rsidRDefault="005674D5" w:rsidP="005674D5">
            <w:pPr>
              <w:pStyle w:val="Default"/>
            </w:pPr>
          </w:p>
          <w:p w:rsidR="005674D5" w:rsidRDefault="005674D5" w:rsidP="005674D5">
            <w:pPr>
              <w:pStyle w:val="Default"/>
              <w:spacing w:after="263"/>
              <w:rPr>
                <w:sz w:val="23"/>
                <w:szCs w:val="23"/>
              </w:rPr>
            </w:pPr>
            <w:r>
              <w:rPr>
                <w:sz w:val="23"/>
                <w:szCs w:val="23"/>
              </w:rPr>
              <w:t xml:space="preserve">2) At no time may a player skip a Division for the purpose of affiliation (i.e.: Pee Wee player CANNOT affiliate to Midget) </w:t>
            </w:r>
          </w:p>
          <w:p w:rsidR="005674D5" w:rsidRDefault="005674D5" w:rsidP="005674D5">
            <w:pPr>
              <w:pStyle w:val="Default"/>
              <w:spacing w:after="263"/>
              <w:rPr>
                <w:sz w:val="23"/>
                <w:szCs w:val="23"/>
              </w:rPr>
            </w:pPr>
            <w:r>
              <w:rPr>
                <w:sz w:val="23"/>
                <w:szCs w:val="23"/>
              </w:rPr>
              <w:t xml:space="preserve">3) Bantam age players cannot affiliate to Midget, with the exception of goaltenders and Female. </w:t>
            </w:r>
          </w:p>
          <w:p w:rsidR="005674D5" w:rsidRDefault="005674D5" w:rsidP="005674D5">
            <w:pPr>
              <w:pStyle w:val="Default"/>
              <w:spacing w:after="263"/>
              <w:rPr>
                <w:sz w:val="23"/>
                <w:szCs w:val="23"/>
              </w:rPr>
            </w:pPr>
            <w:r>
              <w:rPr>
                <w:sz w:val="23"/>
                <w:szCs w:val="23"/>
              </w:rPr>
              <w:t xml:space="preserve">4) Only players registered on a Team Registration form, and approved by the Regional Director, may advance to a higher division or category team for purpose of affiliation. </w:t>
            </w:r>
          </w:p>
          <w:p w:rsidR="005674D5" w:rsidRDefault="005674D5" w:rsidP="005674D5">
            <w:pPr>
              <w:pStyle w:val="Default"/>
              <w:spacing w:after="263"/>
              <w:rPr>
                <w:sz w:val="23"/>
                <w:szCs w:val="23"/>
              </w:rPr>
            </w:pPr>
            <w:r>
              <w:rPr>
                <w:sz w:val="23"/>
                <w:szCs w:val="23"/>
              </w:rPr>
              <w:t xml:space="preserve">5) Higher Division/Category Minor Teams must attain consent from lower Division/Category team prior to using an affiliate player. Failure to comply may result in suspension of offending team’s Head Coach. </w:t>
            </w:r>
          </w:p>
          <w:p w:rsidR="005674D5" w:rsidRDefault="005674D5" w:rsidP="005674D5">
            <w:pPr>
              <w:pStyle w:val="Default"/>
              <w:rPr>
                <w:sz w:val="23"/>
                <w:szCs w:val="23"/>
              </w:rPr>
            </w:pPr>
            <w:r>
              <w:rPr>
                <w:sz w:val="23"/>
                <w:szCs w:val="23"/>
              </w:rPr>
              <w:t xml:space="preserve">6) A maximum of three affiliates may be used by one team within one game. </w:t>
            </w:r>
          </w:p>
          <w:p w:rsidR="005674D5" w:rsidRDefault="005674D5">
            <w:pPr>
              <w:pStyle w:val="Default"/>
              <w:rPr>
                <w:sz w:val="23"/>
                <w:szCs w:val="23"/>
              </w:rPr>
            </w:pPr>
          </w:p>
          <w:p w:rsidR="005674D5" w:rsidRDefault="005674D5" w:rsidP="005674D5">
            <w:pPr>
              <w:pStyle w:val="Default"/>
            </w:pPr>
          </w:p>
          <w:p w:rsidR="005674D5" w:rsidRDefault="005674D5" w:rsidP="005674D5">
            <w:pPr>
              <w:pStyle w:val="Default"/>
              <w:spacing w:after="292"/>
              <w:rPr>
                <w:sz w:val="23"/>
                <w:szCs w:val="23"/>
              </w:rPr>
            </w:pPr>
            <w:r>
              <w:rPr>
                <w:sz w:val="23"/>
                <w:szCs w:val="23"/>
              </w:rPr>
              <w:t>7) With the exception of Peewee AAA, Atom, Bantam or Midget AA teams from within amalgamated Minor Hockey Associations may only draw upon affiliates from one team. (Example - If a Minor Hockey Association has 3 “A” teams, that team must choose one “B” team only, to affiliate with). Affiliate teams are to be selected by December 1</w:t>
            </w:r>
            <w:r>
              <w:rPr>
                <w:sz w:val="16"/>
                <w:szCs w:val="16"/>
              </w:rPr>
              <w:t>st</w:t>
            </w:r>
            <w:r>
              <w:rPr>
                <w:sz w:val="23"/>
                <w:szCs w:val="23"/>
              </w:rPr>
              <w:t xml:space="preserve">. </w:t>
            </w:r>
          </w:p>
          <w:p w:rsidR="005674D5" w:rsidRDefault="005674D5" w:rsidP="005674D5">
            <w:pPr>
              <w:pStyle w:val="Default"/>
              <w:spacing w:after="292"/>
              <w:rPr>
                <w:sz w:val="23"/>
                <w:szCs w:val="23"/>
              </w:rPr>
            </w:pPr>
            <w:r>
              <w:rPr>
                <w:sz w:val="23"/>
                <w:szCs w:val="23"/>
              </w:rPr>
              <w:t xml:space="preserve">8) Minor teams may use players from any combination of teams allowed within their club system affiliation. </w:t>
            </w:r>
          </w:p>
          <w:p w:rsidR="005674D5" w:rsidRDefault="005674D5" w:rsidP="005674D5">
            <w:pPr>
              <w:pStyle w:val="Default"/>
              <w:spacing w:after="292"/>
              <w:rPr>
                <w:sz w:val="23"/>
                <w:szCs w:val="23"/>
              </w:rPr>
            </w:pPr>
            <w:r>
              <w:rPr>
                <w:sz w:val="23"/>
                <w:szCs w:val="23"/>
              </w:rPr>
              <w:lastRenderedPageBreak/>
              <w:t xml:space="preserve">9) For Minor Hockey Associations with 35 or fewer registered Midget players, the lowest affected team may, with approval of the Regional Director, affiliate to players in the Bantam Division who are in their last year of Bantam eligibility, in accordance with the club system. </w:t>
            </w:r>
          </w:p>
          <w:p w:rsidR="005674D5" w:rsidRDefault="005674D5" w:rsidP="005674D5">
            <w:pPr>
              <w:pStyle w:val="Default"/>
              <w:rPr>
                <w:sz w:val="23"/>
                <w:szCs w:val="23"/>
              </w:rPr>
            </w:pPr>
            <w:r>
              <w:rPr>
                <w:sz w:val="23"/>
                <w:szCs w:val="23"/>
              </w:rPr>
              <w:t xml:space="preserve">10) </w:t>
            </w:r>
            <w:r>
              <w:rPr>
                <w:b/>
                <w:bCs/>
                <w:sz w:val="23"/>
                <w:szCs w:val="23"/>
              </w:rPr>
              <w:t xml:space="preserve">All players above Pee Wee must have taken the Approved 2014 HNS checking clinic before being eligible as an affiliate player at a checking level. </w:t>
            </w:r>
          </w:p>
          <w:p w:rsidR="005674D5" w:rsidRDefault="005674D5">
            <w:pPr>
              <w:pStyle w:val="Default"/>
              <w:rPr>
                <w:sz w:val="23"/>
                <w:szCs w:val="23"/>
              </w:rPr>
            </w:pPr>
          </w:p>
        </w:tc>
        <w:tc>
          <w:tcPr>
            <w:tcW w:w="3769" w:type="dxa"/>
            <w:gridSpan w:val="2"/>
          </w:tcPr>
          <w:p w:rsidR="005674D5" w:rsidRDefault="005674D5">
            <w:pPr>
              <w:pStyle w:val="Default"/>
              <w:rPr>
                <w:sz w:val="23"/>
                <w:szCs w:val="23"/>
              </w:rPr>
            </w:pP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p>
        </w:tc>
        <w:tc>
          <w:tcPr>
            <w:tcW w:w="3769" w:type="dxa"/>
            <w:gridSpan w:val="2"/>
          </w:tcPr>
          <w:p w:rsidR="005674D5" w:rsidRDefault="005674D5">
            <w:pPr>
              <w:pStyle w:val="Default"/>
              <w:rPr>
                <w:sz w:val="23"/>
                <w:szCs w:val="23"/>
              </w:rPr>
            </w:pP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p>
        </w:tc>
        <w:tc>
          <w:tcPr>
            <w:tcW w:w="3769" w:type="dxa"/>
            <w:gridSpan w:val="2"/>
          </w:tcPr>
          <w:p w:rsidR="005674D5" w:rsidRDefault="005674D5">
            <w:pPr>
              <w:pStyle w:val="Default"/>
              <w:rPr>
                <w:sz w:val="23"/>
                <w:szCs w:val="23"/>
              </w:rPr>
            </w:pPr>
          </w:p>
        </w:tc>
      </w:tr>
      <w:tr w:rsidR="005674D5" w:rsidTr="005674D5">
        <w:tblPrEx>
          <w:tblCellMar>
            <w:top w:w="0" w:type="dxa"/>
            <w:bottom w:w="0" w:type="dxa"/>
          </w:tblCellMar>
        </w:tblPrEx>
        <w:trPr>
          <w:trHeight w:val="112"/>
        </w:trPr>
        <w:tc>
          <w:tcPr>
            <w:tcW w:w="3769" w:type="dxa"/>
            <w:gridSpan w:val="2"/>
          </w:tcPr>
          <w:p w:rsidR="005674D5" w:rsidRDefault="005674D5">
            <w:pPr>
              <w:pStyle w:val="Default"/>
              <w:rPr>
                <w:sz w:val="23"/>
                <w:szCs w:val="23"/>
              </w:rPr>
            </w:pPr>
          </w:p>
        </w:tc>
        <w:tc>
          <w:tcPr>
            <w:tcW w:w="3769" w:type="dxa"/>
            <w:gridSpan w:val="2"/>
          </w:tcPr>
          <w:p w:rsidR="005674D5" w:rsidRDefault="005674D5">
            <w:pPr>
              <w:pStyle w:val="Default"/>
              <w:rPr>
                <w:sz w:val="23"/>
                <w:szCs w:val="23"/>
              </w:rPr>
            </w:pPr>
          </w:p>
        </w:tc>
      </w:tr>
    </w:tbl>
    <w:p w:rsidR="005674D5" w:rsidRDefault="005674D5"/>
    <w:sectPr w:rsidR="005674D5" w:rsidSect="001F2103">
      <w:pgSz w:w="12240" w:h="16340"/>
      <w:pgMar w:top="1142" w:right="775" w:bottom="694" w:left="11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D5"/>
    <w:rsid w:val="001930B6"/>
    <w:rsid w:val="00361571"/>
    <w:rsid w:val="005674D5"/>
    <w:rsid w:val="00727556"/>
    <w:rsid w:val="009B00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FCB0"/>
  <w15:chartTrackingRefBased/>
  <w15:docId w15:val="{A7D8F931-9119-4592-B8CB-C1D6F53A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4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Courtney</dc:creator>
  <cp:keywords/>
  <dc:description/>
  <cp:lastModifiedBy>Jen Courtney</cp:lastModifiedBy>
  <cp:revision>3</cp:revision>
  <dcterms:created xsi:type="dcterms:W3CDTF">2015-11-28T13:12:00Z</dcterms:created>
  <dcterms:modified xsi:type="dcterms:W3CDTF">2015-11-28T13:43:00Z</dcterms:modified>
</cp:coreProperties>
</file>